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rsidR="00F445B1" w:rsidRPr="00F95BC9" w:rsidRDefault="00F44C2D" w:rsidP="00471319">
            <w:pPr>
              <w:rPr>
                <w:rStyle w:val="Firstpagetablebold"/>
              </w:rPr>
            </w:pPr>
            <w:r>
              <w:rPr>
                <w:rStyle w:val="Firstpagetablebold"/>
              </w:rPr>
              <w:t>Housing Panel</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rsidR="00F445B1" w:rsidRPr="001356F1" w:rsidRDefault="00F44C2D" w:rsidP="005D0621">
            <w:pPr>
              <w:rPr>
                <w:b/>
              </w:rPr>
            </w:pPr>
            <w:r>
              <w:rPr>
                <w:rStyle w:val="Firstpagetablebold"/>
              </w:rPr>
              <w:t>26</w:t>
            </w:r>
            <w:r w:rsidRPr="00F44C2D">
              <w:rPr>
                <w:rStyle w:val="Firstpagetablebold"/>
                <w:vertAlign w:val="superscript"/>
              </w:rPr>
              <w:t>th</w:t>
            </w:r>
            <w:r>
              <w:rPr>
                <w:rStyle w:val="Firstpagetablebold"/>
              </w:rPr>
              <w:t xml:space="preserve"> April 2017</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rsidR="00F445B1" w:rsidRPr="001356F1" w:rsidRDefault="008A3F70" w:rsidP="004A6D2F">
            <w:pPr>
              <w:rPr>
                <w:rStyle w:val="Firstpagetablebold"/>
              </w:rPr>
            </w:pPr>
            <w:r>
              <w:rPr>
                <w:rStyle w:val="Firstpagetablebold"/>
              </w:rPr>
              <w:t>Head of Housing</w:t>
            </w:r>
          </w:p>
        </w:tc>
      </w:tr>
      <w:tr w:rsidR="00CE544A" w:rsidRPr="00975B07" w:rsidTr="005F7F7E">
        <w:tc>
          <w:tcPr>
            <w:tcW w:w="2438" w:type="dxa"/>
            <w:shd w:val="clear" w:color="auto" w:fill="auto"/>
          </w:tcPr>
          <w:p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rsidR="00F445B1" w:rsidRPr="001356F1" w:rsidRDefault="00F44C2D" w:rsidP="008A3F70">
            <w:pPr>
              <w:rPr>
                <w:rStyle w:val="Firstpagetablebold"/>
              </w:rPr>
            </w:pPr>
            <w:r>
              <w:rPr>
                <w:rStyle w:val="Firstpagetablebold"/>
              </w:rPr>
              <w:t xml:space="preserve">Garage Asset Management Strategy </w:t>
            </w:r>
          </w:p>
        </w:tc>
      </w:tr>
    </w:tbl>
    <w:p w:rsidR="004F20EF" w:rsidRDefault="004F20EF" w:rsidP="004A6D2F"/>
    <w:tbl>
      <w:tblPr>
        <w:tblW w:w="9356" w:type="dxa"/>
        <w:tblInd w:w="108" w:type="dxa"/>
        <w:tblLook w:val="04A0" w:firstRow="1" w:lastRow="0" w:firstColumn="1" w:lastColumn="0" w:noHBand="0" w:noVBand="1"/>
      </w:tblPr>
      <w:tblGrid>
        <w:gridCol w:w="426"/>
        <w:gridCol w:w="2835"/>
        <w:gridCol w:w="6095"/>
      </w:tblGrid>
      <w:tr w:rsidR="00D5547E" w:rsidTr="009D2744">
        <w:tc>
          <w:tcPr>
            <w:tcW w:w="9356" w:type="dxa"/>
            <w:gridSpan w:val="3"/>
            <w:tcBorders>
              <w:top w:val="single" w:sz="4" w:space="0" w:color="auto"/>
              <w:left w:val="single" w:sz="4" w:space="0" w:color="auto"/>
              <w:right w:val="single" w:sz="4" w:space="0" w:color="auto"/>
            </w:tcBorders>
            <w:hideMark/>
          </w:tcPr>
          <w:p w:rsidR="00D5547E" w:rsidRDefault="00745BF0" w:rsidP="009D2744">
            <w:pPr>
              <w:rPr>
                <w:rStyle w:val="Firstpagetablebold"/>
              </w:rPr>
            </w:pPr>
            <w:r>
              <w:rPr>
                <w:rStyle w:val="Firstpagetablebold"/>
              </w:rPr>
              <w:t>Summary and r</w:t>
            </w:r>
            <w:r w:rsidR="00D5547E">
              <w:rPr>
                <w:rStyle w:val="Firstpagetablebold"/>
              </w:rPr>
              <w:t>ecommendations</w:t>
            </w:r>
          </w:p>
        </w:tc>
      </w:tr>
      <w:tr w:rsidR="00D5547E" w:rsidTr="009D2744">
        <w:trPr>
          <w:trHeight w:val="1128"/>
        </w:trPr>
        <w:tc>
          <w:tcPr>
            <w:tcW w:w="3261" w:type="dxa"/>
            <w:gridSpan w:val="2"/>
            <w:tcBorders>
              <w:left w:val="single" w:sz="4" w:space="0" w:color="auto"/>
            </w:tcBorders>
            <w:hideMark/>
          </w:tcPr>
          <w:p w:rsidR="00D5547E" w:rsidRPr="008A3F70" w:rsidRDefault="00D5547E" w:rsidP="008A3F70">
            <w:pPr>
              <w:rPr>
                <w:rStyle w:val="Firstpagetablebold"/>
              </w:rPr>
            </w:pPr>
            <w:r w:rsidRPr="008A3F70">
              <w:rPr>
                <w:rStyle w:val="Firstpagetablebold"/>
              </w:rPr>
              <w:t>Purpose of report:</w:t>
            </w:r>
          </w:p>
          <w:p w:rsidR="00471319" w:rsidRPr="008A3F70" w:rsidRDefault="00471319" w:rsidP="008A3F70">
            <w:pPr>
              <w:rPr>
                <w:rStyle w:val="Firstpagetablebold"/>
              </w:rPr>
            </w:pPr>
          </w:p>
          <w:p w:rsidR="008A3F70" w:rsidRPr="008A3F70" w:rsidRDefault="008A3F70" w:rsidP="008A3F70">
            <w:pPr>
              <w:rPr>
                <w:rStyle w:val="Firstpagetablebold"/>
              </w:rPr>
            </w:pPr>
          </w:p>
        </w:tc>
        <w:tc>
          <w:tcPr>
            <w:tcW w:w="6095" w:type="dxa"/>
            <w:tcBorders>
              <w:right w:val="single" w:sz="4" w:space="0" w:color="auto"/>
            </w:tcBorders>
            <w:hideMark/>
          </w:tcPr>
          <w:p w:rsidR="008A3F70" w:rsidRPr="008A3F70" w:rsidRDefault="00F44C2D" w:rsidP="008A3F70">
            <w:r w:rsidRPr="008A3F70">
              <w:t xml:space="preserve">To </w:t>
            </w:r>
            <w:r w:rsidR="008A3F70" w:rsidRPr="008A3F70">
              <w:t>provide members with an overview of the activit</w:t>
            </w:r>
            <w:r w:rsidR="009D2744">
              <w:t>i</w:t>
            </w:r>
            <w:r w:rsidR="008A3F70" w:rsidRPr="008A3F70">
              <w:t>es being carried out under the Garage Asset Management Strategy</w:t>
            </w:r>
          </w:p>
        </w:tc>
      </w:tr>
      <w:tr w:rsidR="008A3F70" w:rsidTr="009D2744">
        <w:trPr>
          <w:trHeight w:val="848"/>
        </w:trPr>
        <w:tc>
          <w:tcPr>
            <w:tcW w:w="3261" w:type="dxa"/>
            <w:gridSpan w:val="2"/>
            <w:tcBorders>
              <w:left w:val="single" w:sz="4" w:space="0" w:color="auto"/>
            </w:tcBorders>
          </w:tcPr>
          <w:p w:rsidR="008A3F70" w:rsidRPr="008A3F70" w:rsidRDefault="008A3F70" w:rsidP="008A3F70">
            <w:pPr>
              <w:rPr>
                <w:rStyle w:val="Firstpagetablebold"/>
              </w:rPr>
            </w:pPr>
            <w:r w:rsidRPr="008A3F70">
              <w:rPr>
                <w:rStyle w:val="Firstpagetablebold"/>
              </w:rPr>
              <w:t>Key Decision</w:t>
            </w:r>
          </w:p>
        </w:tc>
        <w:tc>
          <w:tcPr>
            <w:tcW w:w="6095" w:type="dxa"/>
            <w:tcBorders>
              <w:right w:val="single" w:sz="4" w:space="0" w:color="auto"/>
            </w:tcBorders>
          </w:tcPr>
          <w:p w:rsidR="008A3F70" w:rsidRPr="008A3F70" w:rsidRDefault="008A3F70" w:rsidP="008A3F70">
            <w:r w:rsidRPr="008A3F70">
              <w:t>No</w:t>
            </w:r>
          </w:p>
        </w:tc>
      </w:tr>
      <w:tr w:rsidR="008A3F70" w:rsidTr="009D2744">
        <w:trPr>
          <w:trHeight w:val="800"/>
        </w:trPr>
        <w:tc>
          <w:tcPr>
            <w:tcW w:w="3261" w:type="dxa"/>
            <w:gridSpan w:val="2"/>
            <w:tcBorders>
              <w:left w:val="single" w:sz="4" w:space="0" w:color="auto"/>
            </w:tcBorders>
          </w:tcPr>
          <w:p w:rsidR="008A3F70" w:rsidRPr="008A3F70" w:rsidRDefault="008A3F70" w:rsidP="008A3F70">
            <w:pPr>
              <w:rPr>
                <w:rStyle w:val="Firstpagetablebold"/>
              </w:rPr>
            </w:pPr>
            <w:r w:rsidRPr="008A3F70">
              <w:rPr>
                <w:rStyle w:val="Firstpagetablebold"/>
              </w:rPr>
              <w:t>Executive Lead Member</w:t>
            </w:r>
          </w:p>
        </w:tc>
        <w:tc>
          <w:tcPr>
            <w:tcW w:w="6095" w:type="dxa"/>
            <w:tcBorders>
              <w:right w:val="single" w:sz="4" w:space="0" w:color="auto"/>
            </w:tcBorders>
          </w:tcPr>
          <w:p w:rsidR="008A3F70" w:rsidRPr="008A3F70" w:rsidRDefault="008A3F70" w:rsidP="008A3F70">
            <w:r w:rsidRPr="008A3F70">
              <w:t>Councillor Mike Rowley, Board Member for Housing</w:t>
            </w:r>
          </w:p>
        </w:tc>
      </w:tr>
      <w:tr w:rsidR="00471319" w:rsidTr="009D2744">
        <w:trPr>
          <w:trHeight w:val="531"/>
        </w:trPr>
        <w:tc>
          <w:tcPr>
            <w:tcW w:w="3261" w:type="dxa"/>
            <w:gridSpan w:val="2"/>
            <w:tcBorders>
              <w:left w:val="single" w:sz="4" w:space="0" w:color="auto"/>
            </w:tcBorders>
          </w:tcPr>
          <w:p w:rsidR="00471319" w:rsidRDefault="00471319" w:rsidP="008A3F70">
            <w:pPr>
              <w:rPr>
                <w:rStyle w:val="Firstpagetablebold"/>
              </w:rPr>
            </w:pPr>
            <w:r>
              <w:rPr>
                <w:rStyle w:val="Firstpagetablebold"/>
              </w:rPr>
              <w:t>Corporate Priority</w:t>
            </w:r>
          </w:p>
        </w:tc>
        <w:tc>
          <w:tcPr>
            <w:tcW w:w="6095" w:type="dxa"/>
            <w:tcBorders>
              <w:right w:val="single" w:sz="4" w:space="0" w:color="auto"/>
            </w:tcBorders>
          </w:tcPr>
          <w:p w:rsidR="00D57F03" w:rsidRDefault="008A3F70" w:rsidP="008A3F70">
            <w:r>
              <w:t>An effective and Efficient Council</w:t>
            </w:r>
          </w:p>
          <w:p w:rsidR="008A3F70" w:rsidRPr="001356F1" w:rsidRDefault="008A3F70" w:rsidP="008A3F70"/>
        </w:tc>
      </w:tr>
      <w:tr w:rsidR="00D57F03" w:rsidTr="009D2744">
        <w:trPr>
          <w:trHeight w:val="531"/>
        </w:trPr>
        <w:tc>
          <w:tcPr>
            <w:tcW w:w="3261" w:type="dxa"/>
            <w:gridSpan w:val="2"/>
            <w:tcBorders>
              <w:left w:val="single" w:sz="4" w:space="0" w:color="auto"/>
              <w:bottom w:val="single" w:sz="4" w:space="0" w:color="auto"/>
            </w:tcBorders>
          </w:tcPr>
          <w:p w:rsidR="00D57F03" w:rsidRDefault="00DC0178" w:rsidP="008A3F70">
            <w:pPr>
              <w:rPr>
                <w:rStyle w:val="Firstpagetablebold"/>
              </w:rPr>
            </w:pPr>
            <w:r>
              <w:rPr>
                <w:rStyle w:val="Firstpagetablebold"/>
              </w:rPr>
              <w:t>Report Author</w:t>
            </w:r>
          </w:p>
        </w:tc>
        <w:tc>
          <w:tcPr>
            <w:tcW w:w="6095" w:type="dxa"/>
            <w:tcBorders>
              <w:bottom w:val="single" w:sz="4" w:space="0" w:color="auto"/>
              <w:right w:val="single" w:sz="4" w:space="0" w:color="auto"/>
            </w:tcBorders>
          </w:tcPr>
          <w:p w:rsidR="00D57F03" w:rsidRDefault="00DC0178" w:rsidP="008A3F70">
            <w:r>
              <w:t>Ann Phillips, Tenancy Management Manager</w:t>
            </w:r>
          </w:p>
        </w:tc>
      </w:tr>
      <w:tr w:rsidR="005F7F7E" w:rsidRPr="00975B07" w:rsidTr="009D2744">
        <w:trPr>
          <w:trHeight w:val="413"/>
        </w:trPr>
        <w:tc>
          <w:tcPr>
            <w:tcW w:w="9356" w:type="dxa"/>
            <w:gridSpan w:val="3"/>
            <w:tcBorders>
              <w:top w:val="single" w:sz="4" w:space="0" w:color="auto"/>
            </w:tcBorders>
          </w:tcPr>
          <w:p w:rsidR="008A3F70" w:rsidRDefault="008A3F70" w:rsidP="008A3F70">
            <w:pPr>
              <w:rPr>
                <w:rStyle w:val="Firstpagetablebold"/>
              </w:rPr>
            </w:pPr>
          </w:p>
          <w:p w:rsidR="005F7F7E" w:rsidRPr="00975B07" w:rsidRDefault="005F7F7E" w:rsidP="008A3F70">
            <w:r>
              <w:rPr>
                <w:rStyle w:val="Firstpagetablebold"/>
              </w:rPr>
              <w:t>Recommendation(s):</w:t>
            </w:r>
          </w:p>
        </w:tc>
      </w:tr>
      <w:tr w:rsidR="0030208D" w:rsidRPr="00975B07" w:rsidTr="009D2744">
        <w:trPr>
          <w:trHeight w:val="64"/>
        </w:trPr>
        <w:tc>
          <w:tcPr>
            <w:tcW w:w="426" w:type="dxa"/>
          </w:tcPr>
          <w:p w:rsidR="0030208D" w:rsidRPr="00975B07" w:rsidRDefault="00046D2B" w:rsidP="008A3F70">
            <w:r w:rsidRPr="00975B07">
              <w:t>1.</w:t>
            </w:r>
          </w:p>
        </w:tc>
        <w:tc>
          <w:tcPr>
            <w:tcW w:w="8930" w:type="dxa"/>
            <w:gridSpan w:val="2"/>
            <w:shd w:val="clear" w:color="auto" w:fill="auto"/>
          </w:tcPr>
          <w:p w:rsidR="0030208D" w:rsidRPr="001356F1" w:rsidRDefault="00381FED" w:rsidP="008A3F70">
            <w:r>
              <w:rPr>
                <w:rStyle w:val="Firstpagetablebold"/>
              </w:rPr>
              <w:t>The Housing Panel is asked to note the contents of this report</w:t>
            </w:r>
          </w:p>
        </w:tc>
      </w:tr>
      <w:tr w:rsidR="00232F5B" w:rsidRPr="00975B07" w:rsidTr="009D2744">
        <w:trPr>
          <w:trHeight w:val="84"/>
        </w:trPr>
        <w:tc>
          <w:tcPr>
            <w:tcW w:w="426" w:type="dxa"/>
          </w:tcPr>
          <w:p w:rsidR="0030208D" w:rsidRPr="00975B07" w:rsidRDefault="0030208D" w:rsidP="008A3F70"/>
        </w:tc>
        <w:tc>
          <w:tcPr>
            <w:tcW w:w="8930" w:type="dxa"/>
            <w:gridSpan w:val="2"/>
            <w:shd w:val="clear" w:color="auto" w:fill="auto"/>
          </w:tcPr>
          <w:p w:rsidR="0030208D" w:rsidRPr="001356F1" w:rsidRDefault="0030208D" w:rsidP="008A3F70"/>
        </w:tc>
      </w:tr>
    </w:tbl>
    <w:p w:rsidR="00CE544A" w:rsidRPr="009E51FC" w:rsidRDefault="00CE544A" w:rsidP="004A6D2F"/>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918"/>
      </w:tblGrid>
      <w:tr w:rsidR="00966D42" w:rsidRPr="00975B07" w:rsidTr="00C44BAE">
        <w:tc>
          <w:tcPr>
            <w:tcW w:w="9356" w:type="dxa"/>
            <w:gridSpan w:val="2"/>
            <w:tcBorders>
              <w:top w:val="single" w:sz="8" w:space="0" w:color="000000"/>
              <w:left w:val="single" w:sz="8" w:space="0" w:color="000000"/>
              <w:bottom w:val="single" w:sz="8" w:space="0" w:color="000000"/>
              <w:right w:val="single" w:sz="8" w:space="0" w:color="000000"/>
            </w:tcBorders>
            <w:shd w:val="clear" w:color="auto" w:fill="auto"/>
          </w:tcPr>
          <w:p w:rsidR="00966D42" w:rsidRPr="00975B07" w:rsidRDefault="00966D42" w:rsidP="00263EA3">
            <w:pPr>
              <w:jc w:val="center"/>
            </w:pPr>
            <w:r w:rsidRPr="00745BF0">
              <w:rPr>
                <w:rStyle w:val="Firstpagetablebold"/>
              </w:rPr>
              <w:t>Appendices</w:t>
            </w:r>
          </w:p>
        </w:tc>
      </w:tr>
      <w:tr w:rsidR="00ED5860" w:rsidRPr="00975B07" w:rsidTr="00C44BAE">
        <w:tc>
          <w:tcPr>
            <w:tcW w:w="2438" w:type="dxa"/>
            <w:tcBorders>
              <w:top w:val="single" w:sz="8" w:space="0" w:color="000000"/>
              <w:left w:val="single" w:sz="8" w:space="0" w:color="000000"/>
              <w:bottom w:val="nil"/>
              <w:right w:val="nil"/>
            </w:tcBorders>
            <w:shd w:val="clear" w:color="auto" w:fill="auto"/>
          </w:tcPr>
          <w:p w:rsidR="00ED5860" w:rsidRPr="00975B07" w:rsidRDefault="00ED5860" w:rsidP="004A6D2F">
            <w:r w:rsidRPr="00975B07">
              <w:t>Appendix 1</w:t>
            </w:r>
          </w:p>
        </w:tc>
        <w:tc>
          <w:tcPr>
            <w:tcW w:w="6918" w:type="dxa"/>
            <w:tcBorders>
              <w:top w:val="single" w:sz="8" w:space="0" w:color="000000"/>
              <w:left w:val="nil"/>
              <w:bottom w:val="nil"/>
              <w:right w:val="single" w:sz="8" w:space="0" w:color="000000"/>
            </w:tcBorders>
          </w:tcPr>
          <w:p w:rsidR="00ED5860" w:rsidRPr="001356F1" w:rsidRDefault="009704AE" w:rsidP="004A6D2F">
            <w:r>
              <w:t>Garage Data</w:t>
            </w:r>
          </w:p>
        </w:tc>
      </w:tr>
      <w:tr w:rsidR="00ED5860" w:rsidRPr="00975B07" w:rsidTr="00C44BAE">
        <w:tc>
          <w:tcPr>
            <w:tcW w:w="2438" w:type="dxa"/>
            <w:tcBorders>
              <w:top w:val="nil"/>
              <w:left w:val="single" w:sz="8" w:space="0" w:color="000000"/>
              <w:bottom w:val="nil"/>
              <w:right w:val="nil"/>
            </w:tcBorders>
            <w:shd w:val="clear" w:color="auto" w:fill="auto"/>
          </w:tcPr>
          <w:p w:rsidR="00ED5860" w:rsidRPr="00975B07" w:rsidRDefault="0030208D" w:rsidP="004A6D2F">
            <w:r w:rsidRPr="00975B07">
              <w:t>Appendix 2</w:t>
            </w:r>
          </w:p>
        </w:tc>
        <w:tc>
          <w:tcPr>
            <w:tcW w:w="6918" w:type="dxa"/>
            <w:tcBorders>
              <w:top w:val="nil"/>
              <w:left w:val="nil"/>
              <w:bottom w:val="nil"/>
              <w:right w:val="single" w:sz="8" w:space="0" w:color="000000"/>
            </w:tcBorders>
          </w:tcPr>
          <w:p w:rsidR="00ED5860" w:rsidRPr="001356F1" w:rsidRDefault="009704AE" w:rsidP="009704AE">
            <w:r>
              <w:t>Garages – NPV by block - CONFIDENTIAL</w:t>
            </w:r>
          </w:p>
        </w:tc>
      </w:tr>
      <w:tr w:rsidR="0030208D" w:rsidRPr="00975B07" w:rsidTr="00C44BAE">
        <w:tc>
          <w:tcPr>
            <w:tcW w:w="2438" w:type="dxa"/>
            <w:tcBorders>
              <w:top w:val="nil"/>
              <w:left w:val="single" w:sz="8" w:space="0" w:color="000000"/>
              <w:bottom w:val="nil"/>
              <w:right w:val="nil"/>
            </w:tcBorders>
            <w:shd w:val="clear" w:color="auto" w:fill="auto"/>
          </w:tcPr>
          <w:p w:rsidR="0030208D" w:rsidRPr="00975B07" w:rsidRDefault="0030208D" w:rsidP="004A6D2F">
            <w:r w:rsidRPr="00975B07">
              <w:t>Appendix 3</w:t>
            </w:r>
          </w:p>
        </w:tc>
        <w:tc>
          <w:tcPr>
            <w:tcW w:w="6918" w:type="dxa"/>
            <w:tcBorders>
              <w:top w:val="nil"/>
              <w:left w:val="nil"/>
              <w:bottom w:val="nil"/>
              <w:right w:val="single" w:sz="8" w:space="0" w:color="000000"/>
            </w:tcBorders>
          </w:tcPr>
          <w:p w:rsidR="0030208D" w:rsidRPr="001356F1" w:rsidRDefault="009704AE" w:rsidP="004A6D2F">
            <w:r>
              <w:t>Garage Site Proposals - CONFIDENTIAL</w:t>
            </w:r>
          </w:p>
        </w:tc>
      </w:tr>
      <w:tr w:rsidR="0030208D" w:rsidRPr="00975B07" w:rsidTr="00C44BAE">
        <w:tc>
          <w:tcPr>
            <w:tcW w:w="2438" w:type="dxa"/>
            <w:tcBorders>
              <w:top w:val="nil"/>
              <w:left w:val="single" w:sz="8" w:space="0" w:color="000000"/>
              <w:bottom w:val="single" w:sz="8" w:space="0" w:color="000000"/>
              <w:right w:val="nil"/>
            </w:tcBorders>
            <w:shd w:val="clear" w:color="auto" w:fill="auto"/>
          </w:tcPr>
          <w:p w:rsidR="0030208D" w:rsidRPr="00975B07" w:rsidRDefault="0030208D" w:rsidP="004A6D2F">
            <w:r w:rsidRPr="00975B07">
              <w:t>Appendix 4</w:t>
            </w:r>
          </w:p>
        </w:tc>
        <w:tc>
          <w:tcPr>
            <w:tcW w:w="6918" w:type="dxa"/>
            <w:tcBorders>
              <w:top w:val="nil"/>
              <w:left w:val="nil"/>
              <w:bottom w:val="single" w:sz="8" w:space="0" w:color="000000"/>
              <w:right w:val="single" w:sz="8" w:space="0" w:color="000000"/>
            </w:tcBorders>
          </w:tcPr>
          <w:p w:rsidR="0030208D" w:rsidRPr="001356F1" w:rsidRDefault="009704AE" w:rsidP="004A6D2F">
            <w:r>
              <w:t>Garage Marketing Plan 2017 - CONFIDENTIAL</w:t>
            </w:r>
          </w:p>
        </w:tc>
      </w:tr>
    </w:tbl>
    <w:p w:rsidR="00C44BAE" w:rsidRDefault="00C44BAE" w:rsidP="004A6D2F">
      <w:pPr>
        <w:pStyle w:val="Heading1"/>
      </w:pPr>
    </w:p>
    <w:p w:rsidR="009704AE" w:rsidRDefault="009704AE">
      <w:pPr>
        <w:spacing w:after="0"/>
        <w:rPr>
          <w:b/>
        </w:rPr>
      </w:pPr>
      <w:r>
        <w:br w:type="page"/>
      </w:r>
    </w:p>
    <w:p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rsidR="007C6FCE" w:rsidRDefault="006B3551" w:rsidP="009D2744">
      <w:pPr>
        <w:pStyle w:val="ListParagraph"/>
        <w:numPr>
          <w:ilvl w:val="0"/>
          <w:numId w:val="36"/>
        </w:numPr>
        <w:tabs>
          <w:tab w:val="clear" w:pos="426"/>
          <w:tab w:val="left" w:pos="0"/>
        </w:tabs>
      </w:pPr>
      <w:r>
        <w:t xml:space="preserve">The Council’s garage stock is held within the General Fund Budget and </w:t>
      </w:r>
      <w:r w:rsidR="002A36E8">
        <w:t xml:space="preserve">passed into the management </w:t>
      </w:r>
      <w:r w:rsidR="00964377">
        <w:t xml:space="preserve">of the Tenancy Management team </w:t>
      </w:r>
      <w:r w:rsidR="002A36E8">
        <w:t>in December 2015. T</w:t>
      </w:r>
      <w:r>
        <w:t>here are 2001 garages</w:t>
      </w:r>
      <w:r w:rsidR="002820E0">
        <w:t xml:space="preserve"> of which 593 are situated on Blackbird Leys estate. </w:t>
      </w:r>
      <w:r w:rsidR="007C6FCE">
        <w:t xml:space="preserve">In May 2016 </w:t>
      </w:r>
      <w:r w:rsidR="002820E0">
        <w:t xml:space="preserve">21% of the </w:t>
      </w:r>
      <w:r w:rsidR="007C6FCE">
        <w:t xml:space="preserve">garage </w:t>
      </w:r>
      <w:r w:rsidR="002820E0">
        <w:t>stock w</w:t>
      </w:r>
      <w:r w:rsidR="00192280">
        <w:t>as</w:t>
      </w:r>
      <w:bookmarkStart w:id="0" w:name="_GoBack"/>
      <w:bookmarkEnd w:id="0"/>
      <w:r w:rsidR="002820E0">
        <w:t xml:space="preserve"> void</w:t>
      </w:r>
      <w:r w:rsidR="002A36E8">
        <w:t xml:space="preserve"> and during the course of the project the voids have reduced to 16%</w:t>
      </w:r>
      <w:r w:rsidR="002820E0">
        <w:t xml:space="preserve">. The budgeted rental income of the garage stock for 2016/17 was £1,090,000 and the annual void loss £290,000. </w:t>
      </w:r>
    </w:p>
    <w:p w:rsidR="00E87F7A" w:rsidRPr="001356F1" w:rsidRDefault="002820E0" w:rsidP="009D2744">
      <w:pPr>
        <w:pStyle w:val="ListParagraph"/>
        <w:numPr>
          <w:ilvl w:val="0"/>
          <w:numId w:val="36"/>
        </w:numPr>
        <w:tabs>
          <w:tab w:val="clear" w:pos="426"/>
          <w:tab w:val="left" w:pos="0"/>
        </w:tabs>
      </w:pPr>
      <w:r>
        <w:t>The condition of the garages varies significantly and historically many of the void garages were boarded up awaiting major repair</w:t>
      </w:r>
      <w:r w:rsidR="007C6FCE">
        <w:t xml:space="preserve">. </w:t>
      </w:r>
      <w:r w:rsidR="006B0399">
        <w:t>The Garage Asset Management Strateg</w:t>
      </w:r>
      <w:r w:rsidR="002A36E8">
        <w:t>ic</w:t>
      </w:r>
      <w:r w:rsidR="006B0399">
        <w:t xml:space="preserve"> Board was set up in May 2016 to prod</w:t>
      </w:r>
      <w:r w:rsidR="002A36E8">
        <w:t>uce and implement a</w:t>
      </w:r>
      <w:r w:rsidR="006B0399">
        <w:t xml:space="preserve"> long term plan for the Oxford City Council garage sites. </w:t>
      </w:r>
    </w:p>
    <w:p w:rsidR="00633578" w:rsidRDefault="007A09D6" w:rsidP="00C46CF2">
      <w:pPr>
        <w:pStyle w:val="Heading1"/>
      </w:pPr>
      <w:r>
        <w:t>Options Appraisal</w:t>
      </w:r>
    </w:p>
    <w:p w:rsidR="002820E0" w:rsidRDefault="002820E0" w:rsidP="009704AE">
      <w:pPr>
        <w:pStyle w:val="ListParagraph"/>
        <w:numPr>
          <w:ilvl w:val="0"/>
          <w:numId w:val="36"/>
        </w:numPr>
        <w:tabs>
          <w:tab w:val="left" w:pos="0"/>
        </w:tabs>
      </w:pPr>
      <w:r>
        <w:t>The board has gathered and considered information from various sources and specifically considered</w:t>
      </w:r>
      <w:r w:rsidR="00505F57">
        <w:t xml:space="preserve"> in each area</w:t>
      </w:r>
      <w:r w:rsidR="005234EC">
        <w:t>:</w:t>
      </w:r>
    </w:p>
    <w:p w:rsidR="002820E0" w:rsidRDefault="00505F57" w:rsidP="002820E0">
      <w:pPr>
        <w:pStyle w:val="ListParagraph"/>
        <w:numPr>
          <w:ilvl w:val="0"/>
          <w:numId w:val="34"/>
        </w:numPr>
      </w:pPr>
      <w:r>
        <w:t>The percentage of lettings and any waiting list</w:t>
      </w:r>
      <w:r w:rsidR="005234EC">
        <w:t xml:space="preserve"> (demand)</w:t>
      </w:r>
    </w:p>
    <w:p w:rsidR="00505F57" w:rsidRDefault="00505F57" w:rsidP="002820E0">
      <w:pPr>
        <w:pStyle w:val="ListParagraph"/>
        <w:numPr>
          <w:ilvl w:val="0"/>
          <w:numId w:val="34"/>
        </w:numPr>
      </w:pPr>
      <w:r>
        <w:t>Stock condition</w:t>
      </w:r>
    </w:p>
    <w:p w:rsidR="00505F57" w:rsidRDefault="00505F57" w:rsidP="002820E0">
      <w:pPr>
        <w:pStyle w:val="ListParagraph"/>
        <w:numPr>
          <w:ilvl w:val="0"/>
          <w:numId w:val="34"/>
        </w:numPr>
      </w:pPr>
      <w:r>
        <w:t xml:space="preserve">Cost of </w:t>
      </w:r>
      <w:r w:rsidR="00736B02">
        <w:t>repair to bring up to a letting</w:t>
      </w:r>
      <w:r>
        <w:t xml:space="preserve"> standard</w:t>
      </w:r>
    </w:p>
    <w:p w:rsidR="00505F57" w:rsidRDefault="00505F57" w:rsidP="002820E0">
      <w:pPr>
        <w:pStyle w:val="ListParagraph"/>
        <w:numPr>
          <w:ilvl w:val="0"/>
          <w:numId w:val="34"/>
        </w:numPr>
      </w:pPr>
      <w:r>
        <w:t>Cost of on</w:t>
      </w:r>
      <w:r w:rsidR="00736B02">
        <w:t>-</w:t>
      </w:r>
      <w:r>
        <w:t>going planned maintenance</w:t>
      </w:r>
    </w:p>
    <w:p w:rsidR="00505F57" w:rsidRDefault="00736B02" w:rsidP="002820E0">
      <w:pPr>
        <w:pStyle w:val="ListParagraph"/>
        <w:numPr>
          <w:ilvl w:val="0"/>
          <w:numId w:val="34"/>
        </w:numPr>
      </w:pPr>
      <w:r>
        <w:t>Identification of</w:t>
      </w:r>
      <w:r w:rsidR="00505F57">
        <w:t xml:space="preserve"> garages that cannot be let due to condition or popularity</w:t>
      </w:r>
    </w:p>
    <w:p w:rsidR="00505F57" w:rsidRDefault="00505F57" w:rsidP="002820E0">
      <w:pPr>
        <w:pStyle w:val="ListParagraph"/>
        <w:numPr>
          <w:ilvl w:val="0"/>
          <w:numId w:val="34"/>
        </w:numPr>
      </w:pPr>
      <w:r>
        <w:t>The distribution of garages across the city</w:t>
      </w:r>
    </w:p>
    <w:p w:rsidR="00505F57" w:rsidRDefault="001F7900" w:rsidP="002820E0">
      <w:pPr>
        <w:pStyle w:val="ListParagraph"/>
        <w:numPr>
          <w:ilvl w:val="0"/>
          <w:numId w:val="34"/>
        </w:numPr>
      </w:pPr>
      <w:r>
        <w:t>Identification of</w:t>
      </w:r>
      <w:r w:rsidR="00505F57">
        <w:t xml:space="preserve"> alternative uses for the land</w:t>
      </w:r>
      <w:r w:rsidR="00736B02">
        <w:t xml:space="preserve"> where letting is not an option</w:t>
      </w:r>
    </w:p>
    <w:p w:rsidR="007C6FCE" w:rsidRPr="002820E0" w:rsidRDefault="007C6FCE" w:rsidP="007C6FCE">
      <w:pPr>
        <w:pStyle w:val="ListParagraph"/>
        <w:numPr>
          <w:ilvl w:val="0"/>
          <w:numId w:val="0"/>
        </w:numPr>
        <w:ind w:left="720"/>
      </w:pPr>
    </w:p>
    <w:p w:rsidR="007A09D6" w:rsidRPr="00C46CF2" w:rsidRDefault="007A09D6" w:rsidP="00C46CF2">
      <w:pPr>
        <w:ind w:left="426" w:hanging="426"/>
        <w:rPr>
          <w:b/>
        </w:rPr>
      </w:pPr>
      <w:r w:rsidRPr="00C46CF2">
        <w:rPr>
          <w:b/>
        </w:rPr>
        <w:t>Stock condition, responsive repairs, planned maintenance and improvements</w:t>
      </w:r>
    </w:p>
    <w:p w:rsidR="009704AE" w:rsidRDefault="006F4442" w:rsidP="0070742C">
      <w:pPr>
        <w:pStyle w:val="ListParagraph"/>
        <w:numPr>
          <w:ilvl w:val="0"/>
          <w:numId w:val="41"/>
        </w:numPr>
      </w:pPr>
      <w:r>
        <w:t xml:space="preserve">A survey has been carried out of all the garage sites in the city and minor repairs </w:t>
      </w:r>
      <w:r w:rsidR="007C6FCE">
        <w:t xml:space="preserve">carried out </w:t>
      </w:r>
      <w:r>
        <w:t xml:space="preserve">to bring the garage back into </w:t>
      </w:r>
      <w:r w:rsidRPr="00C419BA">
        <w:t>use</w:t>
      </w:r>
      <w:r w:rsidR="00961DA6" w:rsidRPr="00C419BA">
        <w:t xml:space="preserve"> where there is evidence that there is a demand for the garages</w:t>
      </w:r>
      <w:r w:rsidRPr="00C419BA">
        <w:t xml:space="preserve">. </w:t>
      </w:r>
    </w:p>
    <w:p w:rsidR="006F4442" w:rsidRDefault="006F4442" w:rsidP="0070742C">
      <w:pPr>
        <w:pStyle w:val="ListParagraph"/>
        <w:numPr>
          <w:ilvl w:val="0"/>
          <w:numId w:val="41"/>
        </w:numPr>
      </w:pPr>
      <w:r w:rsidRPr="00C419BA">
        <w:t>Some major repairs have been carried out</w:t>
      </w:r>
      <w:r>
        <w:t xml:space="preserve"> including four new roofs to garage blocks in Northway, a new roof, doors and frames to a block in Normandy Crescent and repairs to an asbestos roof in the Grates. Six other block roofs have been prioritised in the maintenance plan for 2017/18. </w:t>
      </w:r>
      <w:r w:rsidR="00701603">
        <w:t>This has resulted in</w:t>
      </w:r>
      <w:r w:rsidR="005573DA">
        <w:t xml:space="preserve"> 177</w:t>
      </w:r>
      <w:r w:rsidR="00701603">
        <w:t xml:space="preserve"> garages </w:t>
      </w:r>
      <w:r w:rsidR="00381FED">
        <w:t>being brought back into use</w:t>
      </w:r>
      <w:r w:rsidR="00701603">
        <w:t>.</w:t>
      </w:r>
    </w:p>
    <w:p w:rsidR="00961DA6" w:rsidRPr="00C419BA" w:rsidRDefault="00961DA6" w:rsidP="00961DA6">
      <w:pPr>
        <w:pStyle w:val="ListParagraph"/>
        <w:numPr>
          <w:ilvl w:val="0"/>
          <w:numId w:val="41"/>
        </w:numPr>
      </w:pPr>
      <w:r w:rsidRPr="009704AE">
        <w:rPr>
          <w:b/>
        </w:rPr>
        <w:t>Appendix 1</w:t>
      </w:r>
      <w:r w:rsidR="009704AE" w:rsidRPr="009704AE">
        <w:rPr>
          <w:b/>
        </w:rPr>
        <w:t xml:space="preserve"> – Garage Data</w:t>
      </w:r>
      <w:r w:rsidRPr="00C419BA">
        <w:t xml:space="preserve"> </w:t>
      </w:r>
      <w:r w:rsidR="009704AE">
        <w:t xml:space="preserve">shows occupancy and void rates while </w:t>
      </w:r>
      <w:r w:rsidR="009704AE">
        <w:rPr>
          <w:b/>
        </w:rPr>
        <w:t xml:space="preserve">Appendix 2 - NPV by Block (CONFIDENTIAL) </w:t>
      </w:r>
      <w:r w:rsidRPr="00C419BA">
        <w:t>shows a</w:t>
      </w:r>
      <w:r w:rsidR="007C6FCE" w:rsidRPr="00C419BA">
        <w:t xml:space="preserve">n analysis of the </w:t>
      </w:r>
      <w:r w:rsidRPr="00C419BA">
        <w:t xml:space="preserve">(NPV) Net </w:t>
      </w:r>
      <w:r w:rsidR="009704AE">
        <w:t>P</w:t>
      </w:r>
      <w:r w:rsidRPr="00C419BA">
        <w:t xml:space="preserve">resent Value, </w:t>
      </w:r>
      <w:r w:rsidR="007C6FCE" w:rsidRPr="00C419BA">
        <w:t xml:space="preserve">based on current rent </w:t>
      </w:r>
      <w:r w:rsidRPr="00C419BA">
        <w:t xml:space="preserve">and void rates </w:t>
      </w:r>
      <w:r w:rsidR="007C6FCE" w:rsidRPr="00C419BA">
        <w:t xml:space="preserve">and the estimated maintenance cost over thirty years </w:t>
      </w:r>
      <w:r w:rsidR="00CB0081" w:rsidRPr="00C419BA">
        <w:t xml:space="preserve">at </w:t>
      </w:r>
      <w:r w:rsidRPr="00C419BA">
        <w:t xml:space="preserve">a discount rate of </w:t>
      </w:r>
      <w:r w:rsidR="00CB0081" w:rsidRPr="00C419BA">
        <w:t>3%</w:t>
      </w:r>
      <w:r w:rsidRPr="00C419BA">
        <w:t xml:space="preserve">.  This has identified </w:t>
      </w:r>
      <w:r w:rsidR="007C6FCE" w:rsidRPr="00C419BA">
        <w:t xml:space="preserve">specific garage blocks </w:t>
      </w:r>
      <w:r w:rsidRPr="00C419BA">
        <w:t xml:space="preserve">that have a negative NPV and </w:t>
      </w:r>
      <w:r w:rsidR="00CB0081" w:rsidRPr="00C419BA">
        <w:t xml:space="preserve">are </w:t>
      </w:r>
      <w:r w:rsidRPr="00C419BA">
        <w:t xml:space="preserve">therefore </w:t>
      </w:r>
      <w:r w:rsidR="00CB0081" w:rsidRPr="00C419BA">
        <w:t>uneconomic</w:t>
      </w:r>
      <w:r w:rsidRPr="00C419BA">
        <w:t>al as they</w:t>
      </w:r>
      <w:r w:rsidR="00CB0081" w:rsidRPr="00C419BA">
        <w:t xml:space="preserve"> </w:t>
      </w:r>
      <w:r w:rsidRPr="00C419BA">
        <w:t>represent a loss in income to the council as repair and management costs exceed projected income. No work will be carried out on these blocks until there has been a full assessment as to the best use for these sites</w:t>
      </w:r>
    </w:p>
    <w:p w:rsidR="007C6FCE" w:rsidRDefault="00CB0081" w:rsidP="00961DA6">
      <w:pPr>
        <w:pStyle w:val="ListParagraph"/>
        <w:numPr>
          <w:ilvl w:val="0"/>
          <w:numId w:val="0"/>
        </w:numPr>
        <w:ind w:left="720"/>
      </w:pPr>
      <w:r w:rsidRPr="00C419BA">
        <w:t>The data also provides information on the most profitable garage sites and where the limited maintenance income should be directed.</w:t>
      </w:r>
    </w:p>
    <w:p w:rsidR="00C46CF2" w:rsidRPr="006F4442" w:rsidRDefault="00C46CF2" w:rsidP="007A09D6"/>
    <w:p w:rsidR="00CB0081" w:rsidRPr="00C46CF2" w:rsidRDefault="00CB0081" w:rsidP="00C46CF2">
      <w:pPr>
        <w:ind w:left="426" w:hanging="426"/>
        <w:rPr>
          <w:b/>
        </w:rPr>
      </w:pPr>
      <w:r w:rsidRPr="00C46CF2">
        <w:rPr>
          <w:b/>
        </w:rPr>
        <w:lastRenderedPageBreak/>
        <w:t>Lettings and m</w:t>
      </w:r>
      <w:r w:rsidR="007A09D6" w:rsidRPr="00C46CF2">
        <w:rPr>
          <w:b/>
        </w:rPr>
        <w:t>arketing strategy</w:t>
      </w:r>
    </w:p>
    <w:p w:rsidR="00F829BD" w:rsidRDefault="00CB0081" w:rsidP="00207F58">
      <w:pPr>
        <w:pStyle w:val="ListParagraph"/>
        <w:numPr>
          <w:ilvl w:val="0"/>
          <w:numId w:val="41"/>
        </w:numPr>
      </w:pPr>
      <w:r>
        <w:t>As re</w:t>
      </w:r>
      <w:r w:rsidR="00F07428">
        <w:t xml:space="preserve">paired garages have returned </w:t>
      </w:r>
      <w:r>
        <w:t xml:space="preserve">to the </w:t>
      </w:r>
      <w:r w:rsidR="00F07428">
        <w:t xml:space="preserve">available </w:t>
      </w:r>
      <w:r>
        <w:t xml:space="preserve">stock the Tenancy Management team have contacted those applicants on the waiting list to let the garages. </w:t>
      </w:r>
      <w:r w:rsidR="00CD1E69">
        <w:t xml:space="preserve">It was found that many </w:t>
      </w:r>
      <w:r>
        <w:t xml:space="preserve">applications </w:t>
      </w:r>
      <w:r w:rsidR="00CD1E69">
        <w:t>were historica</w:t>
      </w:r>
      <w:r w:rsidR="0070742C">
        <w:t>l and the applicant details</w:t>
      </w:r>
      <w:r w:rsidR="00CD1E69">
        <w:t xml:space="preserve"> out of date</w:t>
      </w:r>
      <w:r w:rsidR="009704AE">
        <w:t xml:space="preserve"> and this adversely affected the number of lettings anticipated</w:t>
      </w:r>
      <w:r w:rsidR="00CD1E69">
        <w:t xml:space="preserve">. </w:t>
      </w:r>
    </w:p>
    <w:p w:rsidR="00CB0081" w:rsidRDefault="00CB0081" w:rsidP="00E23ECC">
      <w:pPr>
        <w:pStyle w:val="ListParagraph"/>
        <w:numPr>
          <w:ilvl w:val="0"/>
          <w:numId w:val="41"/>
        </w:numPr>
      </w:pPr>
      <w:r>
        <w:t xml:space="preserve">A new marketing strategy has been </w:t>
      </w:r>
      <w:r w:rsidR="00F829BD">
        <w:t xml:space="preserve">created and an early working draft is attached at </w:t>
      </w:r>
      <w:r w:rsidR="009704AE" w:rsidRPr="009704AE">
        <w:rPr>
          <w:b/>
        </w:rPr>
        <w:t xml:space="preserve">Appendix 4 - Garage Marketing Plan 2017 </w:t>
      </w:r>
      <w:r w:rsidR="009704AE">
        <w:rPr>
          <w:b/>
        </w:rPr>
        <w:t>(</w:t>
      </w:r>
      <w:r w:rsidR="009704AE" w:rsidRPr="009704AE">
        <w:rPr>
          <w:b/>
        </w:rPr>
        <w:t>CONFIDENTIAL</w:t>
      </w:r>
      <w:r w:rsidR="009704AE">
        <w:rPr>
          <w:b/>
        </w:rPr>
        <w:t>)</w:t>
      </w:r>
      <w:r w:rsidR="00F829BD">
        <w:t xml:space="preserve">. This </w:t>
      </w:r>
      <w:r>
        <w:t>will be implemented in the coming year to attract potential customers</w:t>
      </w:r>
      <w:r w:rsidR="00F829BD">
        <w:t>.</w:t>
      </w:r>
      <w:r>
        <w:t xml:space="preserve"> The </w:t>
      </w:r>
      <w:r w:rsidR="00F829BD">
        <w:t xml:space="preserve">demand </w:t>
      </w:r>
      <w:r>
        <w:t xml:space="preserve">for parking </w:t>
      </w:r>
      <w:r w:rsidR="00F829BD">
        <w:t xml:space="preserve">space </w:t>
      </w:r>
      <w:r>
        <w:t xml:space="preserve">is continuing to increase in the city and provided the rent is </w:t>
      </w:r>
      <w:r w:rsidR="00F07428">
        <w:t>maintained at an appropriate level there is a market for secure parking.</w:t>
      </w:r>
      <w:r>
        <w:t xml:space="preserve"> </w:t>
      </w:r>
    </w:p>
    <w:p w:rsidR="007E6199" w:rsidRDefault="007E6199" w:rsidP="00C46CF2">
      <w:pPr>
        <w:ind w:left="426" w:hanging="426"/>
        <w:rPr>
          <w:b/>
        </w:rPr>
      </w:pPr>
    </w:p>
    <w:p w:rsidR="007A09D6" w:rsidRPr="00C46CF2" w:rsidRDefault="007A09D6" w:rsidP="00C46CF2">
      <w:pPr>
        <w:ind w:left="426" w:hanging="426"/>
        <w:rPr>
          <w:b/>
        </w:rPr>
      </w:pPr>
      <w:r w:rsidRPr="00C46CF2">
        <w:rPr>
          <w:b/>
        </w:rPr>
        <w:t>Alternative site uses</w:t>
      </w:r>
    </w:p>
    <w:p w:rsidR="001B780C" w:rsidRDefault="007E6199" w:rsidP="00E23ECC">
      <w:pPr>
        <w:pStyle w:val="ListParagraph"/>
        <w:numPr>
          <w:ilvl w:val="0"/>
          <w:numId w:val="41"/>
        </w:numPr>
      </w:pPr>
      <w:r>
        <w:t xml:space="preserve">Each </w:t>
      </w:r>
      <w:r w:rsidR="001B780C">
        <w:t xml:space="preserve">garage </w:t>
      </w:r>
      <w:r>
        <w:t>site has been considered by the board with reference to current lettings figures</w:t>
      </w:r>
      <w:r w:rsidR="00F829BD">
        <w:t>, demand</w:t>
      </w:r>
      <w:r>
        <w:t>, NPV</w:t>
      </w:r>
      <w:r w:rsidR="00F829BD">
        <w:t>,</w:t>
      </w:r>
      <w:r w:rsidR="00E23ECC">
        <w:t xml:space="preserve"> </w:t>
      </w:r>
      <w:r>
        <w:t xml:space="preserve">maintenance costs and development potential. </w:t>
      </w:r>
    </w:p>
    <w:p w:rsidR="00C46CF2" w:rsidRPr="007E6199" w:rsidRDefault="001B780C" w:rsidP="001B780C">
      <w:pPr>
        <w:pStyle w:val="ListParagraph"/>
        <w:numPr>
          <w:ilvl w:val="0"/>
          <w:numId w:val="0"/>
        </w:numPr>
        <w:ind w:left="720"/>
      </w:pPr>
      <w:r w:rsidRPr="00C419BA">
        <w:t xml:space="preserve">As a result a number of sites have been identified for </w:t>
      </w:r>
      <w:r w:rsidR="00D0548E" w:rsidRPr="00C419BA">
        <w:t>development;</w:t>
      </w:r>
      <w:r w:rsidRPr="00C419BA">
        <w:t xml:space="preserve"> other sites </w:t>
      </w:r>
      <w:r w:rsidR="00D0548E" w:rsidRPr="00C419BA">
        <w:t>with no development potential are being considered for additional off street parking provision or landscaping and environmental Improvements.</w:t>
      </w:r>
      <w:r w:rsidR="00D0548E">
        <w:t xml:space="preserve"> </w:t>
      </w:r>
      <w:r w:rsidR="007E6199">
        <w:t xml:space="preserve">The outcomes of the Board’s discussions are shown in </w:t>
      </w:r>
      <w:r w:rsidR="009704AE" w:rsidRPr="009704AE">
        <w:rPr>
          <w:b/>
        </w:rPr>
        <w:t>A</w:t>
      </w:r>
      <w:r w:rsidR="007E6199" w:rsidRPr="009704AE">
        <w:rPr>
          <w:b/>
        </w:rPr>
        <w:t xml:space="preserve">ppendix </w:t>
      </w:r>
      <w:r w:rsidR="009704AE" w:rsidRPr="009704AE">
        <w:rPr>
          <w:b/>
        </w:rPr>
        <w:t xml:space="preserve">3 - Garage Site Proposals </w:t>
      </w:r>
      <w:r w:rsidR="009704AE">
        <w:rPr>
          <w:b/>
        </w:rPr>
        <w:t>(</w:t>
      </w:r>
      <w:r w:rsidR="009704AE" w:rsidRPr="009704AE">
        <w:rPr>
          <w:b/>
        </w:rPr>
        <w:t>CONFIDENTIAL</w:t>
      </w:r>
      <w:r w:rsidR="009704AE">
        <w:rPr>
          <w:b/>
        </w:rPr>
        <w:t>)</w:t>
      </w:r>
      <w:r w:rsidR="007E6199" w:rsidRPr="009704AE">
        <w:rPr>
          <w:b/>
        </w:rPr>
        <w:t>.</w:t>
      </w:r>
    </w:p>
    <w:p w:rsidR="007A09D6" w:rsidRDefault="007A09D6" w:rsidP="007A09D6">
      <w:pPr>
        <w:rPr>
          <w:b/>
        </w:rPr>
      </w:pPr>
      <w:r>
        <w:rPr>
          <w:b/>
        </w:rPr>
        <w:t>Finance</w:t>
      </w:r>
    </w:p>
    <w:p w:rsidR="007E6199" w:rsidRPr="007E6199" w:rsidRDefault="00381FED" w:rsidP="00E23ECC">
      <w:pPr>
        <w:pStyle w:val="ListParagraph"/>
        <w:numPr>
          <w:ilvl w:val="0"/>
          <w:numId w:val="41"/>
        </w:numPr>
      </w:pPr>
      <w:r>
        <w:t xml:space="preserve">A budget provision </w:t>
      </w:r>
      <w:r w:rsidR="00B87A5B">
        <w:t xml:space="preserve">has been made for 2017/18 </w:t>
      </w:r>
      <w:r w:rsidR="00B87A5B" w:rsidRPr="007E6199">
        <w:t>of £</w:t>
      </w:r>
      <w:r w:rsidR="00B87A5B">
        <w:t>150,000</w:t>
      </w:r>
      <w:r w:rsidR="007E6199" w:rsidRPr="007E6199">
        <w:t xml:space="preserve"> for </w:t>
      </w:r>
      <w:r w:rsidR="00B87A5B">
        <w:t xml:space="preserve">day to day </w:t>
      </w:r>
      <w:r w:rsidR="001B780C">
        <w:t>maintenance and r</w:t>
      </w:r>
      <w:r w:rsidR="00B87A5B">
        <w:t>epairs</w:t>
      </w:r>
      <w:r>
        <w:t xml:space="preserve"> of </w:t>
      </w:r>
      <w:r w:rsidR="00B87A5B">
        <w:t xml:space="preserve">the </w:t>
      </w:r>
      <w:r>
        <w:t>garages</w:t>
      </w:r>
      <w:r w:rsidR="00B87A5B">
        <w:t xml:space="preserve"> and an additional £77,000 </w:t>
      </w:r>
      <w:r w:rsidR="001B780C" w:rsidRPr="00C419BA">
        <w:t xml:space="preserve">per year for the next four years </w:t>
      </w:r>
      <w:r w:rsidR="00B87A5B" w:rsidRPr="00C419BA">
        <w:t>has been made availab</w:t>
      </w:r>
      <w:r w:rsidR="001B780C" w:rsidRPr="00C419BA">
        <w:t xml:space="preserve">le from the General </w:t>
      </w:r>
      <w:r w:rsidR="00D0548E" w:rsidRPr="00C419BA">
        <w:t>Fund budget</w:t>
      </w:r>
      <w:r w:rsidR="00B87A5B" w:rsidRPr="00C419BA">
        <w:t xml:space="preserve"> to </w:t>
      </w:r>
      <w:r w:rsidR="001B780C" w:rsidRPr="00C419BA">
        <w:t>carry out</w:t>
      </w:r>
      <w:r w:rsidR="00B87A5B" w:rsidRPr="00C419BA">
        <w:t xml:space="preserve"> improvements to the garage blocks</w:t>
      </w:r>
      <w:r w:rsidRPr="00C419BA">
        <w:t>.</w:t>
      </w:r>
      <w:r w:rsidR="007E6199" w:rsidRPr="00C419BA">
        <w:t xml:space="preserve"> </w:t>
      </w:r>
      <w:r w:rsidR="001F7900" w:rsidRPr="00C419BA">
        <w:t>This will include an initial</w:t>
      </w:r>
      <w:r w:rsidR="001F7900">
        <w:t xml:space="preserve"> marketing budget of £4500 to bring the garage properties back into the public eye.</w:t>
      </w:r>
    </w:p>
    <w:p w:rsidR="007A09D6" w:rsidRDefault="007A09D6" w:rsidP="007A09D6">
      <w:pPr>
        <w:rPr>
          <w:b/>
        </w:rPr>
      </w:pPr>
      <w:r>
        <w:rPr>
          <w:b/>
        </w:rPr>
        <w:t>ICT</w:t>
      </w:r>
    </w:p>
    <w:p w:rsidR="001F7900" w:rsidRPr="001F7900" w:rsidRDefault="001F7900" w:rsidP="00E23ECC">
      <w:pPr>
        <w:pStyle w:val="ListParagraph"/>
        <w:numPr>
          <w:ilvl w:val="0"/>
          <w:numId w:val="41"/>
        </w:numPr>
      </w:pPr>
      <w:r w:rsidRPr="001F7900">
        <w:t xml:space="preserve">Garage lettings have been handled manually for many years. A new void pathway in the housing management system has been created to automate the lettings </w:t>
      </w:r>
      <w:r w:rsidR="008B0298">
        <w:t xml:space="preserve">process </w:t>
      </w:r>
      <w:r w:rsidRPr="001F7900">
        <w:t>and to provide rigorous monitoring of performance.</w:t>
      </w:r>
    </w:p>
    <w:p w:rsidR="007A09D6" w:rsidRPr="007A09D6" w:rsidRDefault="007A09D6" w:rsidP="007A09D6"/>
    <w:p w:rsidR="0040736F" w:rsidRPr="001356F1" w:rsidRDefault="001F7900" w:rsidP="004A6D2F">
      <w:pPr>
        <w:pStyle w:val="Heading1"/>
      </w:pPr>
      <w:r>
        <w:t>F</w:t>
      </w:r>
      <w:r w:rsidR="002329CF" w:rsidRPr="001356F1">
        <w:t>inancial implications</w:t>
      </w:r>
    </w:p>
    <w:p w:rsidR="00D0548E" w:rsidRPr="00C419BA" w:rsidRDefault="00D0548E" w:rsidP="00E23ECC">
      <w:pPr>
        <w:pStyle w:val="ListParagraph"/>
        <w:numPr>
          <w:ilvl w:val="0"/>
          <w:numId w:val="41"/>
        </w:numPr>
      </w:pPr>
      <w:r w:rsidRPr="00C419BA">
        <w:t xml:space="preserve">The work carried out by the board has enabled us to bring valuable garages back into use and identify those sites where alternative use is the best option.  </w:t>
      </w:r>
    </w:p>
    <w:p w:rsidR="00E87F7A" w:rsidRPr="00C419BA" w:rsidRDefault="00D0548E" w:rsidP="00E23ECC">
      <w:pPr>
        <w:pStyle w:val="ListParagraph"/>
        <w:numPr>
          <w:ilvl w:val="0"/>
          <w:numId w:val="41"/>
        </w:numPr>
      </w:pPr>
      <w:r w:rsidRPr="00C419BA">
        <w:t xml:space="preserve">The prioritisation of works through the stock condition survey and popularity has enabled us to target the limited funding to best affect and to maximise the income stream from garages into the future </w:t>
      </w:r>
    </w:p>
    <w:p w:rsidR="0040736F" w:rsidRPr="001356F1" w:rsidRDefault="00DA614B" w:rsidP="004A6D2F">
      <w:pPr>
        <w:pStyle w:val="Heading1"/>
      </w:pPr>
      <w:r w:rsidRPr="001356F1">
        <w:t>Legal issues</w:t>
      </w:r>
    </w:p>
    <w:p w:rsidR="00E87F7A" w:rsidRPr="001356F1" w:rsidRDefault="001F7900" w:rsidP="00E23ECC">
      <w:pPr>
        <w:pStyle w:val="ListParagraph"/>
        <w:numPr>
          <w:ilvl w:val="0"/>
          <w:numId w:val="41"/>
        </w:numPr>
      </w:pPr>
      <w:r>
        <w:t>None</w:t>
      </w:r>
    </w:p>
    <w:p w:rsidR="009704AE" w:rsidRDefault="009704AE">
      <w:pPr>
        <w:spacing w:after="0"/>
        <w:rPr>
          <w:b/>
        </w:rPr>
      </w:pPr>
      <w:r>
        <w:br w:type="page"/>
      </w:r>
    </w:p>
    <w:p w:rsidR="00E23ECC" w:rsidRDefault="00E87F7A" w:rsidP="00E23ECC">
      <w:pPr>
        <w:pStyle w:val="Heading1"/>
      </w:pPr>
      <w:r w:rsidRPr="001356F1">
        <w:lastRenderedPageBreak/>
        <w:t>Conclusion</w:t>
      </w:r>
    </w:p>
    <w:p w:rsidR="00E206D6" w:rsidRDefault="00381FED" w:rsidP="00E23ECC">
      <w:pPr>
        <w:pStyle w:val="Heading1"/>
      </w:pPr>
      <w:r>
        <w:t xml:space="preserve">The vast majority of garages owned by Oxford City Council can be let and will continue to contribute </w:t>
      </w:r>
      <w:r w:rsidR="00991639">
        <w:t>to the General Fund.</w:t>
      </w:r>
    </w:p>
    <w:p w:rsidR="00991639" w:rsidRDefault="00991639" w:rsidP="00E23ECC">
      <w:pPr>
        <w:pStyle w:val="ListParagraph"/>
        <w:numPr>
          <w:ilvl w:val="0"/>
          <w:numId w:val="41"/>
        </w:numPr>
      </w:pPr>
      <w:r>
        <w:t>A number of unpopular garages sites have been identified for development of new housing schemes.</w:t>
      </w:r>
    </w:p>
    <w:p w:rsidR="00991639" w:rsidRDefault="00991639" w:rsidP="00E23ECC">
      <w:pPr>
        <w:pStyle w:val="ListParagraph"/>
        <w:numPr>
          <w:ilvl w:val="0"/>
          <w:numId w:val="41"/>
        </w:numPr>
      </w:pPr>
      <w:r>
        <w:t>Works to garages have been aligned with other works to estates including the provision of off street parking and other schemes falling un</w:t>
      </w:r>
      <w:r w:rsidR="00E23ECC">
        <w:t xml:space="preserve">der the Great Estates programme </w:t>
      </w:r>
      <w:r>
        <w:t>of works.</w:t>
      </w:r>
    </w:p>
    <w:p w:rsidR="00991639" w:rsidRPr="001356F1" w:rsidRDefault="00991639" w:rsidP="00E23ECC">
      <w:pPr>
        <w:pStyle w:val="ListParagraph"/>
        <w:numPr>
          <w:ilvl w:val="0"/>
          <w:numId w:val="41"/>
        </w:numPr>
      </w:pPr>
      <w:r>
        <w:t>Work is continuing to identify alternative options where unpopular garage sites are not suitable for redevelopment or the provision of off street parking.</w:t>
      </w:r>
    </w:p>
    <w:p w:rsidR="00E206D6" w:rsidRPr="001356F1" w:rsidRDefault="00E206D6" w:rsidP="00E206D6">
      <w:pPr>
        <w:pStyle w:val="ListParagraph"/>
        <w:numPr>
          <w:ilvl w:val="0"/>
          <w:numId w:val="0"/>
        </w:numPr>
        <w:ind w:left="426"/>
      </w:pPr>
    </w:p>
    <w:p w:rsidR="002329CF" w:rsidRPr="001356F1" w:rsidRDefault="002329CF" w:rsidP="004A6D2F"/>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E87F7A" w:rsidRPr="001356F1" w:rsidRDefault="008B0298" w:rsidP="00A46E98">
            <w:r>
              <w:t>Ann Phillips</w:t>
            </w:r>
          </w:p>
        </w:tc>
      </w:tr>
      <w:tr w:rsidR="00DF093E" w:rsidRPr="001356F1" w:rsidTr="00A46E98">
        <w:trPr>
          <w:cantSplit/>
          <w:trHeight w:val="396"/>
        </w:trPr>
        <w:tc>
          <w:tcPr>
            <w:tcW w:w="3969" w:type="dxa"/>
            <w:tcBorders>
              <w:top w:val="single" w:sz="8" w:space="0" w:color="000000"/>
              <w:left w:val="single" w:sz="8" w:space="0" w:color="000000"/>
              <w:bottom w:val="nil"/>
              <w:right w:val="nil"/>
            </w:tcBorders>
            <w:shd w:val="clear" w:color="auto" w:fill="auto"/>
          </w:tcPr>
          <w:p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rsidR="00E87F7A" w:rsidRPr="001356F1" w:rsidRDefault="008B0298" w:rsidP="00A46E98">
            <w:r>
              <w:t>Tenancy Management Manager</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rsidR="00E87F7A" w:rsidRPr="001356F1" w:rsidRDefault="008B0298" w:rsidP="00A46E98">
            <w:r>
              <w:t>Housing &amp; Property</w:t>
            </w:r>
          </w:p>
        </w:tc>
      </w:tr>
      <w:tr w:rsidR="00DF093E" w:rsidRPr="001356F1" w:rsidTr="00A46E98">
        <w:trPr>
          <w:cantSplit/>
          <w:trHeight w:val="396"/>
        </w:trPr>
        <w:tc>
          <w:tcPr>
            <w:tcW w:w="3969" w:type="dxa"/>
            <w:tcBorders>
              <w:top w:val="nil"/>
              <w:left w:val="single" w:sz="8" w:space="0" w:color="000000"/>
              <w:bottom w:val="nil"/>
              <w:right w:val="nil"/>
            </w:tcBorders>
            <w:shd w:val="clear" w:color="auto" w:fill="auto"/>
          </w:tcPr>
          <w:p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rsidR="00E87F7A" w:rsidRPr="001356F1" w:rsidRDefault="00E87F7A" w:rsidP="008B0298">
            <w:r w:rsidRPr="001356F1">
              <w:t xml:space="preserve">01865 </w:t>
            </w:r>
            <w:r w:rsidR="008B0298">
              <w:t>252203</w:t>
            </w:r>
          </w:p>
        </w:tc>
      </w:tr>
      <w:tr w:rsidR="005570B5" w:rsidRPr="001356F1" w:rsidTr="00A46E98">
        <w:trPr>
          <w:cantSplit/>
          <w:trHeight w:val="396"/>
        </w:trPr>
        <w:tc>
          <w:tcPr>
            <w:tcW w:w="3969" w:type="dxa"/>
            <w:tcBorders>
              <w:top w:val="nil"/>
              <w:left w:val="single" w:sz="8" w:space="0" w:color="000000"/>
              <w:bottom w:val="single" w:sz="8" w:space="0" w:color="000000"/>
              <w:right w:val="nil"/>
            </w:tcBorders>
            <w:shd w:val="clear" w:color="auto" w:fill="auto"/>
          </w:tcPr>
          <w:p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rsidR="00E87F7A" w:rsidRPr="001356F1" w:rsidRDefault="008B0298" w:rsidP="00A46E98">
            <w:pPr>
              <w:rPr>
                <w:rStyle w:val="Hyperlink"/>
                <w:color w:val="000000"/>
              </w:rPr>
            </w:pPr>
            <w:r>
              <w:rPr>
                <w:rStyle w:val="Hyperlink"/>
                <w:color w:val="000000"/>
              </w:rPr>
              <w:t>anphillips@oxford.gov.uk</w:t>
            </w:r>
          </w:p>
        </w:tc>
      </w:tr>
    </w:tbl>
    <w:p w:rsidR="00433B96" w:rsidRPr="001356F1" w:rsidRDefault="00433B96" w:rsidP="004A6D2F"/>
    <w:sectPr w:rsidR="00433B96" w:rsidRPr="001356F1"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89" w:rsidRDefault="00502B89" w:rsidP="004A6D2F">
      <w:r>
        <w:separator/>
      </w:r>
    </w:p>
  </w:endnote>
  <w:endnote w:type="continuationSeparator" w:id="0">
    <w:p w:rsidR="00502B89" w:rsidRDefault="00502B89"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4A6D2F">
    <w:pPr>
      <w:pStyle w:val="Footer"/>
    </w:pPr>
    <w:r>
      <w:t>Do not use a footer or page numbers.</w:t>
    </w:r>
  </w:p>
  <w:p w:rsidR="007E6199" w:rsidRDefault="007E6199" w:rsidP="004A6D2F">
    <w:pPr>
      <w:pStyle w:val="Footer"/>
    </w:pPr>
  </w:p>
  <w:p w:rsidR="007E6199" w:rsidRDefault="007E6199"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89" w:rsidRDefault="00502B89" w:rsidP="004A6D2F">
      <w:r>
        <w:separator/>
      </w:r>
    </w:p>
  </w:footnote>
  <w:footnote w:type="continuationSeparator" w:id="0">
    <w:p w:rsidR="00502B89" w:rsidRDefault="00502B89"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199" w:rsidRDefault="007E6199" w:rsidP="00D5547E">
    <w:pPr>
      <w:pStyle w:val="Header"/>
      <w:jc w:val="right"/>
    </w:pPr>
    <w:r>
      <w:rPr>
        <w:noProof/>
      </w:rPr>
      <w:drawing>
        <wp:inline distT="0" distB="0" distL="0" distR="0" wp14:anchorId="1BFE9B75" wp14:editId="119E9F10">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49C05EF"/>
    <w:multiLevelType w:val="multilevel"/>
    <w:tmpl w:val="43D6D2FA"/>
    <w:numStyleLink w:val="StyleBulletedSymbolsymbolLeft063cmHanging063cm"/>
  </w:abstractNum>
  <w:abstractNum w:abstractNumId="13">
    <w:nsid w:val="05856231"/>
    <w:multiLevelType w:val="hybridMultilevel"/>
    <w:tmpl w:val="56709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07712AC6"/>
    <w:multiLevelType w:val="hybridMultilevel"/>
    <w:tmpl w:val="A78AE63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073C5F"/>
    <w:multiLevelType w:val="hybridMultilevel"/>
    <w:tmpl w:val="FEE2F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2263A6A"/>
    <w:multiLevelType w:val="multilevel"/>
    <w:tmpl w:val="43D6D2FA"/>
    <w:numStyleLink w:val="StyleBulletedSymbolsymbolLeft063cmHanging063cm"/>
  </w:abstractNum>
  <w:abstractNum w:abstractNumId="21">
    <w:nsid w:val="22AF4C5C"/>
    <w:multiLevelType w:val="hybridMultilevel"/>
    <w:tmpl w:val="4B345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28A1F41"/>
    <w:multiLevelType w:val="hybridMultilevel"/>
    <w:tmpl w:val="FEE2F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4C5070"/>
    <w:multiLevelType w:val="hybridMultilevel"/>
    <w:tmpl w:val="1A082674"/>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1">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ABA5FD8"/>
    <w:multiLevelType w:val="multilevel"/>
    <w:tmpl w:val="43D6D2FA"/>
    <w:numStyleLink w:val="StyleBulletedSymbolsymbolLeft063cmHanging063cm"/>
  </w:abstractNum>
  <w:abstractNum w:abstractNumId="33">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A22831"/>
    <w:multiLevelType w:val="multilevel"/>
    <w:tmpl w:val="43D6D2FA"/>
    <w:numStyleLink w:val="StyleBulletedSymbolsymbolLeft063cmHanging063cm"/>
  </w:abstractNum>
  <w:abstractNum w:abstractNumId="35">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98365C6"/>
    <w:multiLevelType w:val="multilevel"/>
    <w:tmpl w:val="E67CE66C"/>
    <w:numStyleLink w:val="StyleNumberedLeft0cmHanging075cm"/>
  </w:abstractNum>
  <w:num w:numId="1">
    <w:abstractNumId w:val="31"/>
  </w:num>
  <w:num w:numId="2">
    <w:abstractNumId w:val="36"/>
  </w:num>
  <w:num w:numId="3">
    <w:abstractNumId w:val="27"/>
  </w:num>
  <w:num w:numId="4">
    <w:abstractNumId w:val="22"/>
  </w:num>
  <w:num w:numId="5">
    <w:abstractNumId w:val="33"/>
  </w:num>
  <w:num w:numId="6">
    <w:abstractNumId w:val="37"/>
  </w:num>
  <w:num w:numId="7">
    <w:abstractNumId w:val="26"/>
  </w:num>
  <w:num w:numId="8">
    <w:abstractNumId w:val="24"/>
  </w:num>
  <w:num w:numId="9">
    <w:abstractNumId w:val="15"/>
  </w:num>
  <w:num w:numId="10">
    <w:abstractNumId w:val="18"/>
  </w:num>
  <w:num w:numId="11">
    <w:abstractNumId w:val="29"/>
  </w:num>
  <w:num w:numId="12">
    <w:abstractNumId w:val="28"/>
  </w:num>
  <w:num w:numId="13">
    <w:abstractNumId w:val="10"/>
  </w:num>
  <w:num w:numId="14">
    <w:abstractNumId w:val="38"/>
  </w:num>
  <w:num w:numId="15">
    <w:abstractNumId w:val="19"/>
  </w:num>
  <w:num w:numId="16">
    <w:abstractNumId w:val="11"/>
  </w:num>
  <w:num w:numId="17">
    <w:abstractNumId w:val="32"/>
  </w:num>
  <w:num w:numId="18">
    <w:abstractNumId w:val="12"/>
  </w:num>
  <w:num w:numId="19">
    <w:abstractNumId w:val="34"/>
  </w:num>
  <w:num w:numId="20">
    <w:abstractNumId w:val="20"/>
  </w:num>
  <w:num w:numId="21">
    <w:abstractNumId w:val="25"/>
  </w:num>
  <w:num w:numId="22">
    <w:abstractNumId w:val="16"/>
  </w:num>
  <w:num w:numId="23">
    <w:abstractNumId w:val="35"/>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21"/>
  </w:num>
  <w:num w:numId="35">
    <w:abstractNumId w:val="13"/>
  </w:num>
  <w:num w:numId="36">
    <w:abstractNumId w:val="23"/>
  </w:num>
  <w:num w:numId="37">
    <w:abstractNumId w:val="38"/>
  </w:num>
  <w:num w:numId="38">
    <w:abstractNumId w:val="38"/>
  </w:num>
  <w:num w:numId="39">
    <w:abstractNumId w:val="17"/>
  </w:num>
  <w:num w:numId="40">
    <w:abstractNumId w:val="30"/>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58"/>
    <w:rsid w:val="00001ADC"/>
    <w:rsid w:val="000117D4"/>
    <w:rsid w:val="00015AFD"/>
    <w:rsid w:val="000314D7"/>
    <w:rsid w:val="00045F8B"/>
    <w:rsid w:val="00046D2B"/>
    <w:rsid w:val="00056263"/>
    <w:rsid w:val="00064D8A"/>
    <w:rsid w:val="00064F82"/>
    <w:rsid w:val="00066510"/>
    <w:rsid w:val="00070DE8"/>
    <w:rsid w:val="00077523"/>
    <w:rsid w:val="000C089F"/>
    <w:rsid w:val="000C3928"/>
    <w:rsid w:val="000C5E8E"/>
    <w:rsid w:val="000F4751"/>
    <w:rsid w:val="0010524C"/>
    <w:rsid w:val="00111FB1"/>
    <w:rsid w:val="00113418"/>
    <w:rsid w:val="001356F1"/>
    <w:rsid w:val="00136994"/>
    <w:rsid w:val="0014128E"/>
    <w:rsid w:val="00151888"/>
    <w:rsid w:val="00170A2D"/>
    <w:rsid w:val="001808BC"/>
    <w:rsid w:val="00182B81"/>
    <w:rsid w:val="0018619D"/>
    <w:rsid w:val="00192280"/>
    <w:rsid w:val="001A011E"/>
    <w:rsid w:val="001A066A"/>
    <w:rsid w:val="001A13E6"/>
    <w:rsid w:val="001A5731"/>
    <w:rsid w:val="001B42C3"/>
    <w:rsid w:val="001B780C"/>
    <w:rsid w:val="001C5D5E"/>
    <w:rsid w:val="001D678D"/>
    <w:rsid w:val="001E03F8"/>
    <w:rsid w:val="001E1678"/>
    <w:rsid w:val="001E3376"/>
    <w:rsid w:val="001F7900"/>
    <w:rsid w:val="002069B3"/>
    <w:rsid w:val="00226073"/>
    <w:rsid w:val="002329CF"/>
    <w:rsid w:val="00232F5B"/>
    <w:rsid w:val="00247C29"/>
    <w:rsid w:val="00260467"/>
    <w:rsid w:val="00263EA3"/>
    <w:rsid w:val="002820E0"/>
    <w:rsid w:val="00284F85"/>
    <w:rsid w:val="00290915"/>
    <w:rsid w:val="002A22E2"/>
    <w:rsid w:val="002A36E8"/>
    <w:rsid w:val="002C64F7"/>
    <w:rsid w:val="002F41F2"/>
    <w:rsid w:val="00301BF3"/>
    <w:rsid w:val="0030208D"/>
    <w:rsid w:val="00323418"/>
    <w:rsid w:val="003357BF"/>
    <w:rsid w:val="00364FAD"/>
    <w:rsid w:val="0036738F"/>
    <w:rsid w:val="0036759C"/>
    <w:rsid w:val="00367AE5"/>
    <w:rsid w:val="00367D71"/>
    <w:rsid w:val="0038150A"/>
    <w:rsid w:val="00381FED"/>
    <w:rsid w:val="003B6E75"/>
    <w:rsid w:val="003B7DA1"/>
    <w:rsid w:val="003D0379"/>
    <w:rsid w:val="003D2574"/>
    <w:rsid w:val="003D4C59"/>
    <w:rsid w:val="003F4267"/>
    <w:rsid w:val="00404032"/>
    <w:rsid w:val="004053E3"/>
    <w:rsid w:val="0040736F"/>
    <w:rsid w:val="00412C1F"/>
    <w:rsid w:val="00421CB2"/>
    <w:rsid w:val="004268B9"/>
    <w:rsid w:val="00433B96"/>
    <w:rsid w:val="004440F1"/>
    <w:rsid w:val="004456DD"/>
    <w:rsid w:val="00446CDF"/>
    <w:rsid w:val="004521B7"/>
    <w:rsid w:val="00462AB5"/>
    <w:rsid w:val="00465EAF"/>
    <w:rsid w:val="00471319"/>
    <w:rsid w:val="004738C5"/>
    <w:rsid w:val="00491046"/>
    <w:rsid w:val="004A2AC7"/>
    <w:rsid w:val="004A6D2F"/>
    <w:rsid w:val="004C0136"/>
    <w:rsid w:val="004C2887"/>
    <w:rsid w:val="004D2626"/>
    <w:rsid w:val="004D481B"/>
    <w:rsid w:val="004D6E26"/>
    <w:rsid w:val="004D77D3"/>
    <w:rsid w:val="004E2959"/>
    <w:rsid w:val="004F20EF"/>
    <w:rsid w:val="00502B89"/>
    <w:rsid w:val="0050321C"/>
    <w:rsid w:val="00505C90"/>
    <w:rsid w:val="00505F57"/>
    <w:rsid w:val="005234EC"/>
    <w:rsid w:val="0054712D"/>
    <w:rsid w:val="00547EF6"/>
    <w:rsid w:val="005570B5"/>
    <w:rsid w:val="005573DA"/>
    <w:rsid w:val="00567E18"/>
    <w:rsid w:val="00575F5F"/>
    <w:rsid w:val="00581805"/>
    <w:rsid w:val="00585F76"/>
    <w:rsid w:val="005A34E4"/>
    <w:rsid w:val="005B17F2"/>
    <w:rsid w:val="005B7FB0"/>
    <w:rsid w:val="005C29A4"/>
    <w:rsid w:val="005C35A5"/>
    <w:rsid w:val="005C577C"/>
    <w:rsid w:val="005D0621"/>
    <w:rsid w:val="005D1E27"/>
    <w:rsid w:val="005D2A3E"/>
    <w:rsid w:val="005E022E"/>
    <w:rsid w:val="005E5215"/>
    <w:rsid w:val="005F7F7E"/>
    <w:rsid w:val="0060124B"/>
    <w:rsid w:val="00614693"/>
    <w:rsid w:val="00623C2F"/>
    <w:rsid w:val="00633578"/>
    <w:rsid w:val="00637068"/>
    <w:rsid w:val="00650811"/>
    <w:rsid w:val="00661D3E"/>
    <w:rsid w:val="00673380"/>
    <w:rsid w:val="00692627"/>
    <w:rsid w:val="006969E7"/>
    <w:rsid w:val="006A3643"/>
    <w:rsid w:val="006B0399"/>
    <w:rsid w:val="006B3551"/>
    <w:rsid w:val="006C2A29"/>
    <w:rsid w:val="006C64CF"/>
    <w:rsid w:val="006D17B1"/>
    <w:rsid w:val="006D4752"/>
    <w:rsid w:val="006D708A"/>
    <w:rsid w:val="006D7DAB"/>
    <w:rsid w:val="006E14C1"/>
    <w:rsid w:val="006F0292"/>
    <w:rsid w:val="006F27FA"/>
    <w:rsid w:val="006F416B"/>
    <w:rsid w:val="006F4442"/>
    <w:rsid w:val="006F519B"/>
    <w:rsid w:val="00701603"/>
    <w:rsid w:val="0070742C"/>
    <w:rsid w:val="00713675"/>
    <w:rsid w:val="00715823"/>
    <w:rsid w:val="00736B02"/>
    <w:rsid w:val="00737B93"/>
    <w:rsid w:val="00745BF0"/>
    <w:rsid w:val="007615FE"/>
    <w:rsid w:val="0076655C"/>
    <w:rsid w:val="007742DC"/>
    <w:rsid w:val="00791437"/>
    <w:rsid w:val="007A09D6"/>
    <w:rsid w:val="007A6122"/>
    <w:rsid w:val="007B0C2C"/>
    <w:rsid w:val="007B278E"/>
    <w:rsid w:val="007C5C23"/>
    <w:rsid w:val="007C6FCE"/>
    <w:rsid w:val="007E2A26"/>
    <w:rsid w:val="007E6199"/>
    <w:rsid w:val="007F2348"/>
    <w:rsid w:val="00803F07"/>
    <w:rsid w:val="0080749A"/>
    <w:rsid w:val="00821FB8"/>
    <w:rsid w:val="00822ACD"/>
    <w:rsid w:val="00855C66"/>
    <w:rsid w:val="00871EE4"/>
    <w:rsid w:val="008A3F70"/>
    <w:rsid w:val="008A43AA"/>
    <w:rsid w:val="008B0298"/>
    <w:rsid w:val="008B293F"/>
    <w:rsid w:val="008B7371"/>
    <w:rsid w:val="008D3DDB"/>
    <w:rsid w:val="008F573F"/>
    <w:rsid w:val="009034EC"/>
    <w:rsid w:val="0093067A"/>
    <w:rsid w:val="00941C60"/>
    <w:rsid w:val="00941FD1"/>
    <w:rsid w:val="00961DA6"/>
    <w:rsid w:val="00964377"/>
    <w:rsid w:val="00966D42"/>
    <w:rsid w:val="009704AE"/>
    <w:rsid w:val="00971689"/>
    <w:rsid w:val="00973E90"/>
    <w:rsid w:val="00975B07"/>
    <w:rsid w:val="00980B4A"/>
    <w:rsid w:val="00991639"/>
    <w:rsid w:val="009C4D6D"/>
    <w:rsid w:val="009D2744"/>
    <w:rsid w:val="009E3D0A"/>
    <w:rsid w:val="009E51FC"/>
    <w:rsid w:val="009F1D28"/>
    <w:rsid w:val="009F7618"/>
    <w:rsid w:val="00A04D23"/>
    <w:rsid w:val="00A06766"/>
    <w:rsid w:val="00A13765"/>
    <w:rsid w:val="00A21B12"/>
    <w:rsid w:val="00A23F80"/>
    <w:rsid w:val="00A4626B"/>
    <w:rsid w:val="00A46E98"/>
    <w:rsid w:val="00A6352B"/>
    <w:rsid w:val="00A701B5"/>
    <w:rsid w:val="00A714BB"/>
    <w:rsid w:val="00A77147"/>
    <w:rsid w:val="00A92D8F"/>
    <w:rsid w:val="00AB2988"/>
    <w:rsid w:val="00AB7999"/>
    <w:rsid w:val="00AD3292"/>
    <w:rsid w:val="00AE7AF0"/>
    <w:rsid w:val="00B03E7B"/>
    <w:rsid w:val="00B35218"/>
    <w:rsid w:val="00B500CA"/>
    <w:rsid w:val="00B86314"/>
    <w:rsid w:val="00B87A5B"/>
    <w:rsid w:val="00BA1C2E"/>
    <w:rsid w:val="00BC200B"/>
    <w:rsid w:val="00BC4756"/>
    <w:rsid w:val="00BC69A4"/>
    <w:rsid w:val="00BE0680"/>
    <w:rsid w:val="00BE305F"/>
    <w:rsid w:val="00BE7BA3"/>
    <w:rsid w:val="00BF5682"/>
    <w:rsid w:val="00BF7B09"/>
    <w:rsid w:val="00C20A95"/>
    <w:rsid w:val="00C2692F"/>
    <w:rsid w:val="00C3207C"/>
    <w:rsid w:val="00C400E1"/>
    <w:rsid w:val="00C41187"/>
    <w:rsid w:val="00C419BA"/>
    <w:rsid w:val="00C44BAE"/>
    <w:rsid w:val="00C46CF2"/>
    <w:rsid w:val="00C63C31"/>
    <w:rsid w:val="00C757A0"/>
    <w:rsid w:val="00C760DE"/>
    <w:rsid w:val="00C82630"/>
    <w:rsid w:val="00C85B4E"/>
    <w:rsid w:val="00C907F7"/>
    <w:rsid w:val="00CA2103"/>
    <w:rsid w:val="00CB0081"/>
    <w:rsid w:val="00CB6B99"/>
    <w:rsid w:val="00CD1E69"/>
    <w:rsid w:val="00CE4C87"/>
    <w:rsid w:val="00CE544A"/>
    <w:rsid w:val="00D0548E"/>
    <w:rsid w:val="00D11E1C"/>
    <w:rsid w:val="00D160B0"/>
    <w:rsid w:val="00D17F94"/>
    <w:rsid w:val="00D223FC"/>
    <w:rsid w:val="00D26D1E"/>
    <w:rsid w:val="00D27E0D"/>
    <w:rsid w:val="00D474CF"/>
    <w:rsid w:val="00D5547E"/>
    <w:rsid w:val="00D57F03"/>
    <w:rsid w:val="00D869A1"/>
    <w:rsid w:val="00DA413F"/>
    <w:rsid w:val="00DA4584"/>
    <w:rsid w:val="00DA614B"/>
    <w:rsid w:val="00DC0178"/>
    <w:rsid w:val="00DC3060"/>
    <w:rsid w:val="00DE0FB2"/>
    <w:rsid w:val="00DF093E"/>
    <w:rsid w:val="00E01F42"/>
    <w:rsid w:val="00E206D6"/>
    <w:rsid w:val="00E23ECC"/>
    <w:rsid w:val="00E3366E"/>
    <w:rsid w:val="00E45927"/>
    <w:rsid w:val="00E52086"/>
    <w:rsid w:val="00E543A6"/>
    <w:rsid w:val="00E60479"/>
    <w:rsid w:val="00E61D73"/>
    <w:rsid w:val="00E73684"/>
    <w:rsid w:val="00E818D6"/>
    <w:rsid w:val="00E87F7A"/>
    <w:rsid w:val="00E96BD7"/>
    <w:rsid w:val="00EA0DB1"/>
    <w:rsid w:val="00EA0EE9"/>
    <w:rsid w:val="00ED52CA"/>
    <w:rsid w:val="00ED5860"/>
    <w:rsid w:val="00EE35C9"/>
    <w:rsid w:val="00F05ECA"/>
    <w:rsid w:val="00F07428"/>
    <w:rsid w:val="00F23B64"/>
    <w:rsid w:val="00F3566E"/>
    <w:rsid w:val="00F375FB"/>
    <w:rsid w:val="00F41AC1"/>
    <w:rsid w:val="00F4367A"/>
    <w:rsid w:val="00F445B1"/>
    <w:rsid w:val="00F44C2D"/>
    <w:rsid w:val="00F45CD4"/>
    <w:rsid w:val="00F66DCA"/>
    <w:rsid w:val="00F74F53"/>
    <w:rsid w:val="00F7606D"/>
    <w:rsid w:val="00F77127"/>
    <w:rsid w:val="00F81670"/>
    <w:rsid w:val="00F82024"/>
    <w:rsid w:val="00F829BD"/>
    <w:rsid w:val="00F95BC9"/>
    <w:rsid w:val="00FA624C"/>
    <w:rsid w:val="00FD0FAC"/>
    <w:rsid w:val="00FD1DFA"/>
    <w:rsid w:val="00FD4966"/>
    <w:rsid w:val="00FE5758"/>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Subtitle" w:uiPriority="11"/>
    <w:lsdException w:name="Hyperlink"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7131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349331425">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49056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CoMother\City%20Executive%20Board\CEB%20General%20Admin\CEB%20report%20-%20blank%20template%20to%20be%20used%20from%20January%2020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5B08-AEE8-4812-B173-E612376E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January 2016</Template>
  <TotalTime>20</TotalTime>
  <Pages>4</Pages>
  <Words>1033</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sclaridge</dc:creator>
  <cp:lastModifiedBy>abrown2</cp:lastModifiedBy>
  <cp:revision>5</cp:revision>
  <cp:lastPrinted>2015-07-03T13:50:00Z</cp:lastPrinted>
  <dcterms:created xsi:type="dcterms:W3CDTF">2017-04-12T10:22:00Z</dcterms:created>
  <dcterms:modified xsi:type="dcterms:W3CDTF">2017-04-13T11:20:00Z</dcterms:modified>
</cp:coreProperties>
</file>